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FF0000"/>
        </w:rPr>
      </w:pPr>
      <w:r>
        <w:rPr>
          <w:color w:val="FF0000"/>
        </w:rPr>
        <w:t>南京晓庄学院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  <w:rPr>
          <w:rFonts w:hint="eastAsia" w:ascii="Microsoft JhengHei" w:eastAsia="Microsoft JhengHei"/>
          <w:b/>
          <w:sz w:val="72"/>
        </w:rPr>
      </w:pPr>
      <w:r>
        <w:rPr>
          <w:rFonts w:hint="eastAsia" w:ascii="Microsoft JhengHei" w:eastAsia="Microsoft JhengHei"/>
          <w:b/>
          <w:color w:val="FF0000"/>
          <w:sz w:val="72"/>
        </w:rPr>
        <w:t>电子工程学院分团委文件</w:t>
      </w:r>
    </w:p>
    <w:p>
      <w:pPr>
        <w:pStyle w:val="3"/>
        <w:spacing w:before="27"/>
        <w:ind w:left="3279"/>
        <w:rPr>
          <w:rFonts w:hint="eastAsia" w:ascii="宋体" w:eastAsia="宋体"/>
          <w:sz w:val="24"/>
        </w:rPr>
      </w:pPr>
      <w:r>
        <w:rPr>
          <w:rFonts w:hint="eastAsia" w:ascii="微软雅黑" w:eastAsia="微软雅黑"/>
        </w:rPr>
        <w:t>南晓电</w:t>
      </w:r>
      <w:r>
        <w:rPr>
          <w:rFonts w:hint="eastAsia" w:ascii="微软雅黑" w:eastAsia="微软雅黑"/>
          <w:lang w:eastAsia="zh-CN"/>
        </w:rPr>
        <w:t>团</w:t>
      </w:r>
      <w:r>
        <w:rPr>
          <w:rFonts w:hint="eastAsia" w:ascii="微软雅黑" w:eastAsia="微软雅黑"/>
        </w:rPr>
        <w:t>〔201</w:t>
      </w:r>
      <w:r>
        <w:rPr>
          <w:rFonts w:hint="eastAsia" w:ascii="微软雅黑" w:eastAsia="微软雅黑"/>
          <w:lang w:val="en-US" w:eastAsia="zh-CN"/>
        </w:rPr>
        <w:t>9</w:t>
      </w:r>
      <w:r>
        <w:rPr>
          <w:rFonts w:hint="eastAsia" w:ascii="微软雅黑" w:eastAsia="微软雅黑"/>
        </w:rPr>
        <w:t>〕</w:t>
      </w:r>
      <w:r>
        <w:rPr>
          <w:rFonts w:hint="eastAsia" w:ascii="微软雅黑" w:eastAsia="微软雅黑"/>
          <w:lang w:val="en-US" w:eastAsia="zh-CN"/>
        </w:rPr>
        <w:t>2</w:t>
      </w:r>
      <w:r>
        <w:rPr>
          <w:rFonts w:hint="eastAsia" w:ascii="微软雅黑" w:eastAsia="微软雅黑"/>
        </w:rPr>
        <w:t xml:space="preserve"> 号  </w:t>
      </w:r>
      <w:r>
        <w:rPr>
          <w:rFonts w:hint="eastAsia" w:ascii="宋体" w:eastAsia="宋体"/>
          <w:w w:val="99"/>
          <w:sz w:val="24"/>
        </w:rPr>
        <w:t xml:space="preserve"> </w:t>
      </w:r>
    </w:p>
    <w:p>
      <w:pPr>
        <w:spacing w:before="35"/>
        <w:ind w:left="0" w:right="391" w:firstLine="0"/>
        <w:jc w:val="right"/>
        <w:rPr>
          <w:rFonts w:hint="eastAsia"/>
          <w:b/>
          <w:sz w:val="32"/>
          <w:szCs w:val="32"/>
          <w:lang w:eastAsia="zh-CN"/>
        </w:rPr>
      </w:pPr>
      <w:r>
        <w:rPr>
          <w:rFonts w:hint="eastAsia" w:ascii="微软雅黑" w:eastAsia="微软雅黑"/>
          <w:b/>
          <w:w w:val="95"/>
          <w:sz w:val="32"/>
        </w:rPr>
        <w:t>签发人</w:t>
      </w:r>
      <w:r>
        <w:rPr>
          <w:rFonts w:hint="eastAsia" w:ascii="宋体" w:eastAsia="宋体"/>
          <w:b/>
          <w:w w:val="95"/>
          <w:sz w:val="24"/>
        </w:rPr>
        <w:t>：</w:t>
      </w:r>
      <w:r>
        <w:rPr>
          <w:rFonts w:hint="eastAsia" w:ascii="微软雅黑" w:eastAsia="微软雅黑"/>
          <w:b/>
          <w:w w:val="95"/>
          <w:sz w:val="32"/>
        </w:rPr>
        <w:t>赵茹</w:t>
      </w:r>
    </w:p>
    <w:p>
      <w:pPr>
        <w:pStyle w:val="4"/>
        <w:tabs>
          <w:tab w:val="left" w:pos="1858"/>
          <w:tab w:val="center" w:pos="4215"/>
        </w:tabs>
        <w:spacing w:before="4"/>
        <w:jc w:val="left"/>
        <w:rPr>
          <w:rFonts w:hint="eastAsia"/>
          <w:b/>
          <w:sz w:val="32"/>
          <w:szCs w:val="32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503315456" behindDoc="1" locked="0" layoutInCell="1" allowOverlap="1">
                <wp:simplePos x="0" y="0"/>
                <wp:positionH relativeFrom="page">
                  <wp:posOffset>808355</wp:posOffset>
                </wp:positionH>
                <wp:positionV relativeFrom="paragraph">
                  <wp:posOffset>173355</wp:posOffset>
                </wp:positionV>
                <wp:extent cx="6031230" cy="0"/>
                <wp:effectExtent l="0" t="17145" r="7620" b="20955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1230" cy="0"/>
                        </a:xfrm>
                        <a:prstGeom prst="line">
                          <a:avLst/>
                        </a:prstGeom>
                        <a:ln w="349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65pt;margin-top:13.65pt;height:0pt;width:474.9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I+TA72AAAAAoBAAAPAAAA&#10;AAAAAAEAIAAAACIAAABkcnMvZG93bnJldi54bWxQSwECFAAUAAAACACHTuJAPfjCftwBAACXAwAA&#10;DgAAAAAAAAABACAAAAAnAQAAZHJzL2Uyb0RvYy54bWxQSwUGAAAAAAYABgBZAQAAdQUAAAAA&#10;">
                <v:fill on="f" focussize="0,0"/>
                <v:stroke weight="2.75pt" color="#FF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  <w:lang w:eastAsia="zh-CN"/>
        </w:rPr>
        <w:tab/>
      </w:r>
      <w:r>
        <w:rPr>
          <w:rFonts w:hint="eastAsia"/>
          <w:b/>
          <w:sz w:val="32"/>
          <w:szCs w:val="32"/>
          <w:lang w:eastAsia="zh-CN"/>
        </w:rPr>
        <w:tab/>
      </w:r>
    </w:p>
    <w:p>
      <w:pPr>
        <w:pStyle w:val="4"/>
        <w:tabs>
          <w:tab w:val="left" w:pos="1858"/>
          <w:tab w:val="center" w:pos="4215"/>
        </w:tabs>
        <w:spacing w:before="4"/>
        <w:jc w:val="center"/>
        <w:rPr>
          <w:rFonts w:ascii="Times New Roman" w:hAnsi="Times New Roman"/>
          <w:color w:val="333333"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电子工程</w:t>
      </w:r>
      <w:r>
        <w:rPr>
          <w:b/>
          <w:sz w:val="32"/>
          <w:szCs w:val="32"/>
        </w:rPr>
        <w:t>学</w:t>
      </w:r>
      <w:bookmarkStart w:id="0" w:name="_GoBack"/>
      <w:bookmarkEnd w:id="0"/>
      <w:r>
        <w:rPr>
          <w:b/>
          <w:sz w:val="32"/>
          <w:szCs w:val="32"/>
        </w:rPr>
        <w:t>院</w:t>
      </w:r>
      <w:r>
        <w:rPr>
          <w:rStyle w:val="7"/>
          <w:sz w:val="32"/>
          <w:szCs w:val="32"/>
        </w:rPr>
        <w:t>社团考核评分标准</w:t>
      </w:r>
    </w:p>
    <w:tbl>
      <w:tblPr>
        <w:tblStyle w:val="8"/>
        <w:tblW w:w="10065" w:type="dxa"/>
        <w:tblInd w:w="-8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186"/>
        <w:gridCol w:w="1082"/>
        <w:gridCol w:w="5948"/>
        <w:gridCol w:w="11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序 号</w:t>
            </w:r>
          </w:p>
        </w:tc>
        <w:tc>
          <w:tcPr>
            <w:tcW w:w="118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项   目</w:t>
            </w:r>
          </w:p>
        </w:tc>
        <w:tc>
          <w:tcPr>
            <w:tcW w:w="70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内</w:t>
            </w:r>
            <w:r>
              <w:rPr>
                <w:rStyle w:val="7"/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 xml:space="preserve"> 容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分值比100%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1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社团基础建设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制度建设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10’</w:t>
            </w:r>
          </w:p>
        </w:tc>
        <w:tc>
          <w:tcPr>
            <w:tcW w:w="5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1.社团内部有清晰完善的规章制度以及明确的考核制度。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both"/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必完成项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both"/>
              <w:rPr>
                <w:rFonts w:hint="eastAsia" w:ascii="Times New Roman" w:hAnsi="Times New Roman" w:eastAsiaTheme="minorEastAsia"/>
                <w:b/>
                <w:bCs/>
                <w:color w:val="333333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333333"/>
                <w:sz w:val="21"/>
                <w:szCs w:val="21"/>
                <w:lang w:eastAsia="zh-CN"/>
              </w:rPr>
              <w:t>（一项否决制）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5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2.社团干部选举民主制，内部组织机构完善，各司其职。</w:t>
            </w:r>
            <w:r>
              <w:rPr>
                <w:rFonts w:hint="eastAsia" w:ascii="Times New Roman" w:hAnsi="Times New Roman"/>
                <w:b/>
                <w:bCs/>
                <w:color w:val="333333"/>
                <w:sz w:val="21"/>
                <w:szCs w:val="21"/>
                <w:lang w:eastAsia="zh-CN"/>
              </w:rPr>
              <w:t>（至少三位负责人：社长、组织人员、财务管理人员）</w:t>
            </w:r>
          </w:p>
        </w:tc>
        <w:tc>
          <w:tcPr>
            <w:tcW w:w="114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59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3.社团定期开展例会，并有例会记录。</w:t>
            </w:r>
          </w:p>
        </w:tc>
        <w:tc>
          <w:tcPr>
            <w:tcW w:w="114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82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档案建设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20’</w:t>
            </w:r>
          </w:p>
        </w:tc>
        <w:tc>
          <w:tcPr>
            <w:tcW w:w="59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1.《社团工作手册》填写完善。</w:t>
            </w:r>
          </w:p>
        </w:tc>
        <w:tc>
          <w:tcPr>
            <w:tcW w:w="114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5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.社团档案信息完整，包括指导老师、社团干部和社员的基本信息。</w:t>
            </w: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5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.活动提前申报备案，策划方案详细、完善，活动过程性材料齐全，总结完整。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若社团人员出去参加比赛必须提前一周上报社管部备案。（活动前务必提前两天上报，社团活动次数按照上报次数计算，否则不计入社团活动总数。）</w:t>
            </w: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财务管理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10’</w:t>
            </w:r>
          </w:p>
        </w:tc>
        <w:tc>
          <w:tcPr>
            <w:tcW w:w="5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社团财务有专人负责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，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社团账目完整、真实。</w:t>
            </w: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社团活动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开展情况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30’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703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1.百团大战全校招新有序组织，积极开展。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2.积极参与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校团委组织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晓庄之夜、社团巡礼节活动，展现社团活力与特色。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709" w:type="dxa"/>
            <w:vMerge w:val="continue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3.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每月至少开展一次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主题活动或学科竞赛等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，时间集中为每月中下旬</w:t>
            </w:r>
            <w:r>
              <w:rPr>
                <w:rFonts w:ascii="Times New Roman" w:hAnsi="Times New Roman"/>
                <w:color w:val="333333"/>
                <w:sz w:val="21"/>
                <w:szCs w:val="21"/>
              </w:rPr>
              <w:t>。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（少于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新媒宣传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通过广宣投稿、张贴海报、校内摆台等线上线下媒介进行宣传。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品牌特色活动建设情况</w:t>
            </w:r>
          </w:p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7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1.社团至少有一项品牌特色活动并且能够长期开展，活动立意好，富有创意、具有吸引力。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7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参加校团委推荐赛事或者本专业市、省、国赛等。（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5分一项，总分不超过40分</w:t>
            </w:r>
            <w:r>
              <w:rPr>
                <w:rFonts w:hint="eastAsia" w:ascii="Times New Roman" w:hAnsi="Times New Roman"/>
                <w:color w:val="333333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hint="eastAsia" w:ascii="Times New Roman" w:hAnsi="Times New Roman" w:eastAsiaTheme="minorEastAsia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/>
                <w:color w:val="333333"/>
                <w:sz w:val="21"/>
                <w:szCs w:val="21"/>
                <w:lang w:val="en-US" w:eastAsia="zh-CN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社团影响力 10’</w:t>
            </w:r>
          </w:p>
        </w:tc>
        <w:tc>
          <w:tcPr>
            <w:tcW w:w="7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1.社团活动参与度高</w:t>
            </w:r>
            <w:r>
              <w:rPr>
                <w:rFonts w:ascii="Times New Roman" w:hAnsi="Times New Roman"/>
                <w:color w:val="0000FF"/>
                <w:sz w:val="21"/>
                <w:szCs w:val="21"/>
              </w:rPr>
              <w:t>。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cs="Times New Roman"/>
                <w:color w:val="333333"/>
                <w:szCs w:val="21"/>
              </w:rPr>
            </w:pPr>
          </w:p>
        </w:tc>
        <w:tc>
          <w:tcPr>
            <w:tcW w:w="7030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/>
                <w:color w:val="333333"/>
                <w:sz w:val="21"/>
                <w:szCs w:val="21"/>
              </w:rPr>
              <w:t>2.积极和外校进行沟通交流，实现友好社团联盟，与外校相关社团有共同活动。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80" w:lineRule="exact"/>
              <w:jc w:val="center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>
              <w:rPr>
                <w:rStyle w:val="7"/>
                <w:rFonts w:ascii="Times New Roman" w:hAnsi="Times New Roman"/>
                <w:color w:val="333333"/>
                <w:sz w:val="21"/>
                <w:szCs w:val="21"/>
              </w:rPr>
              <w:t>5</w:t>
            </w:r>
          </w:p>
        </w:tc>
      </w:tr>
    </w:tbl>
    <w:p>
      <w:pPr>
        <w:pStyle w:val="5"/>
        <w:widowControl/>
        <w:spacing w:beforeAutospacing="0" w:afterAutospacing="0" w:line="480" w:lineRule="exact"/>
        <w:rPr>
          <w:rFonts w:ascii="Times New Roman" w:hAnsi="Times New Roman"/>
          <w:color w:val="333333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36BD5"/>
    <w:rsid w:val="6CD36BD5"/>
    <w:rsid w:val="7C1828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1060" w:lineRule="exact"/>
      <w:ind w:left="952" w:right="1233"/>
      <w:jc w:val="center"/>
      <w:outlineLvl w:val="1"/>
    </w:pPr>
    <w:rPr>
      <w:rFonts w:ascii="Microsoft JhengHei" w:hAnsi="Microsoft JhengHei" w:eastAsia="Microsoft JhengHei" w:cs="Microsoft JhengHei"/>
      <w:b/>
      <w:bCs/>
      <w:sz w:val="72"/>
      <w:szCs w:val="7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华文仿宋" w:hAnsi="华文仿宋" w:eastAsia="华文仿宋" w:cs="华文仿宋"/>
      <w:sz w:val="28"/>
      <w:szCs w:val="28"/>
      <w:lang w:val="zh-CN" w:eastAsia="zh-CN" w:bidi="zh-CN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2019-02-24T06:59:00Z</dcterms:created>
  <dc:creator>Administrator</dc:creator>
  <cp:lastModifiedBy>Administrator</cp:lastModifiedBy>
  <dcterms:modified xsi:type="dcterms:W3CDTF">2019-03-06T06:56:25Z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